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0A32B7" w:rsidRPr="006E2CFF" w:rsidRDefault="000A32B7" w:rsidP="000A32B7">
      <w:pPr>
        <w:pStyle w:val="Heading1"/>
        <w:spacing w:before="92" w:line="252" w:lineRule="auto"/>
        <w:ind w:left="80"/>
        <w:jc w:val="center"/>
        <w:rPr>
          <w:sz w:val="20"/>
        </w:rPr>
      </w:pPr>
      <w:r w:rsidRPr="006E2CFF">
        <w:rPr>
          <w:sz w:val="20"/>
        </w:rPr>
        <w:t>ADVISORY COUNCIL</w:t>
      </w:r>
    </w:p>
    <w:p w:rsidR="000A32B7" w:rsidRPr="006E2CFF" w:rsidRDefault="000A32B7" w:rsidP="000A32B7">
      <w:pPr>
        <w:spacing w:line="252" w:lineRule="auto"/>
        <w:ind w:left="78"/>
        <w:jc w:val="center"/>
        <w:rPr>
          <w:b/>
        </w:rPr>
      </w:pPr>
      <w:r w:rsidRPr="006E2CFF">
        <w:rPr>
          <w:b/>
        </w:rPr>
        <w:t>FOR THE EARLY IDENTIFICATION OF DEAF AND HARD OF HEARING INFANTS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0A32B7" w:rsidP="000A32B7">
      <w:pPr>
        <w:ind w:left="81"/>
        <w:jc w:val="center"/>
        <w:rPr>
          <w:b/>
        </w:rPr>
      </w:pPr>
      <w:r w:rsidRPr="00F04AC0">
        <w:rPr>
          <w:b/>
        </w:rPr>
        <w:t xml:space="preserve">Friday, </w:t>
      </w:r>
      <w:r w:rsidR="00BF7F90">
        <w:rPr>
          <w:b/>
        </w:rPr>
        <w:t>April 24</w:t>
      </w:r>
      <w:r w:rsidR="00F20F32">
        <w:rPr>
          <w:b/>
        </w:rPr>
        <w:t>, 2026</w:t>
      </w:r>
      <w:bookmarkStart w:id="0" w:name="_GoBack"/>
      <w:bookmarkEnd w:id="0"/>
      <w:r w:rsidRPr="00F04AC0">
        <w:rPr>
          <w:b/>
        </w:rPr>
        <w:br/>
        <w:t>12:</w:t>
      </w:r>
      <w:r w:rsidR="00BE793E" w:rsidRPr="00F04AC0">
        <w:rPr>
          <w:b/>
        </w:rPr>
        <w:t>0</w:t>
      </w:r>
      <w:r w:rsidRPr="00F04AC0">
        <w:rPr>
          <w:b/>
        </w:rPr>
        <w:t>0-2:30 p.m.</w:t>
      </w:r>
      <w:r w:rsidRPr="00F04AC0">
        <w:rPr>
          <w:b/>
        </w:rPr>
        <w:br/>
      </w:r>
      <w:r w:rsidRPr="00F04AC0">
        <w:rPr>
          <w:b/>
        </w:rPr>
        <w:br/>
        <w:t>Location</w:t>
      </w:r>
    </w:p>
    <w:p w:rsidR="000A32B7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Benson Tower, Suite 2024</w:t>
      </w:r>
    </w:p>
    <w:p w:rsidR="000A32B7" w:rsidRPr="00F04AC0" w:rsidRDefault="00BF7F90" w:rsidP="00BF7F90">
      <w:pPr>
        <w:tabs>
          <w:tab w:val="left" w:pos="2961"/>
          <w:tab w:val="center" w:pos="4360"/>
          <w:tab w:val="left" w:pos="5121"/>
          <w:tab w:val="left" w:pos="6797"/>
        </w:tabs>
        <w:ind w:left="81"/>
      </w:pPr>
      <w:r>
        <w:tab/>
      </w:r>
      <w:r>
        <w:tab/>
      </w:r>
      <w:r w:rsidR="004939B7" w:rsidRPr="00F04AC0">
        <w:t>1450 Poydras Street</w:t>
      </w:r>
      <w:r>
        <w:tab/>
      </w:r>
    </w:p>
    <w:p w:rsidR="00BE793E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New Orleans, LA 70112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155F1D" w:rsidRDefault="000A32B7" w:rsidP="000A32B7">
      <w:pPr>
        <w:jc w:val="center"/>
        <w:rPr>
          <w:i/>
          <w:iCs/>
        </w:rPr>
      </w:pPr>
      <w:r w:rsidRPr="00F04AC0">
        <w:rPr>
          <w:b/>
        </w:rPr>
        <w:t>Meeting link</w:t>
      </w:r>
      <w:r w:rsidR="00155F1D">
        <w:rPr>
          <w:b/>
        </w:rPr>
        <w:br/>
        <w:t>TBD</w:t>
      </w:r>
      <w:r w:rsidR="00153C6A" w:rsidRPr="00F04AC0">
        <w:rPr>
          <w:b/>
        </w:rPr>
        <w:t xml:space="preserve"> </w:t>
      </w:r>
      <w:r w:rsidR="00153C6A" w:rsidRPr="00F04AC0">
        <w:rPr>
          <w:b/>
        </w:rPr>
        <w:br/>
        <w:t>Council Members &amp; Public</w:t>
      </w:r>
      <w:r w:rsidR="00155F1D" w:rsidRPr="00155F1D">
        <w:rPr>
          <w:i/>
          <w:iCs/>
        </w:rPr>
        <w:t xml:space="preserve"> </w:t>
      </w:r>
      <w:r w:rsidR="00155F1D">
        <w:rPr>
          <w:i/>
          <w:iCs/>
        </w:rPr>
        <w:br/>
      </w:r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9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separate"/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A200D"/>
    <w:rsid w:val="00AA2C27"/>
    <w:rsid w:val="00AD2E9F"/>
    <w:rsid w:val="00AF472F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BF7F9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20F32"/>
    <w:rsid w:val="00F416DB"/>
    <w:rsid w:val="00F456CE"/>
    <w:rsid w:val="00F52C74"/>
    <w:rsid w:val="00F54EA2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,"/>
  <w14:docId w14:val="19C8F2E4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ehdi@la.gov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6CB7-9B2F-42AF-8C24-8912A759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0</TotalTime>
  <Pages>1</Pages>
  <Words>117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Dana Hubbard</cp:lastModifiedBy>
  <cp:revision>3</cp:revision>
  <cp:lastPrinted>2025-07-14T20:17:00Z</cp:lastPrinted>
  <dcterms:created xsi:type="dcterms:W3CDTF">2025-11-18T20:35:00Z</dcterms:created>
  <dcterms:modified xsi:type="dcterms:W3CDTF">2025-11-18T20:35:00Z</dcterms:modified>
</cp:coreProperties>
</file>